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03" w:rsidRDefault="00E46803"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E46803" w:rsidTr="00444BB9">
        <w:tc>
          <w:tcPr>
            <w:tcW w:w="9535" w:type="dxa"/>
            <w:gridSpan w:val="2"/>
          </w:tcPr>
          <w:p w:rsidR="00E46803" w:rsidRDefault="00E46803" w:rsidP="00E46803">
            <w:pPr>
              <w:jc w:val="center"/>
            </w:pPr>
            <w:r>
              <w:t xml:space="preserve">The University of Jordan </w:t>
            </w:r>
          </w:p>
          <w:p w:rsidR="00E46803" w:rsidRDefault="00E46803" w:rsidP="00E46803">
            <w:pPr>
              <w:jc w:val="center"/>
            </w:pPr>
            <w:r>
              <w:t>School of Nursing</w:t>
            </w:r>
          </w:p>
          <w:p w:rsidR="00E46803" w:rsidRDefault="00E46803" w:rsidP="00E46803">
            <w:pPr>
              <w:jc w:val="center"/>
            </w:pPr>
            <w:r>
              <w:t>Children and Adolescent Health Nursing (theory)</w:t>
            </w:r>
          </w:p>
          <w:p w:rsidR="00E46803" w:rsidRDefault="00E46803" w:rsidP="00E46803">
            <w:pPr>
              <w:jc w:val="center"/>
            </w:pPr>
            <w:r>
              <w:t>0703303</w:t>
            </w:r>
          </w:p>
          <w:p w:rsidR="0062509E" w:rsidRDefault="0062509E" w:rsidP="00E46803">
            <w:pPr>
              <w:jc w:val="center"/>
            </w:pPr>
            <w:r>
              <w:t>B – Sickle cell disease (SCD)</w:t>
            </w:r>
          </w:p>
        </w:tc>
      </w:tr>
      <w:tr w:rsidR="00CC66A8" w:rsidTr="00CC66A8">
        <w:tc>
          <w:tcPr>
            <w:tcW w:w="2695" w:type="dxa"/>
          </w:tcPr>
          <w:p w:rsidR="00CC66A8" w:rsidRDefault="00CC66A8">
            <w:r>
              <w:t xml:space="preserve">Purpose </w:t>
            </w:r>
          </w:p>
        </w:tc>
        <w:tc>
          <w:tcPr>
            <w:tcW w:w="6840" w:type="dxa"/>
          </w:tcPr>
          <w:p w:rsidR="00CC66A8" w:rsidRDefault="00CC66A8" w:rsidP="00CC66A8">
            <w:r>
              <w:t xml:space="preserve">The purpose of this assignment is to promote the students skills of knowledge acquisition through self-study and team work. </w:t>
            </w:r>
          </w:p>
        </w:tc>
      </w:tr>
      <w:tr w:rsidR="00CC66A8" w:rsidTr="00CC66A8">
        <w:tc>
          <w:tcPr>
            <w:tcW w:w="2695" w:type="dxa"/>
          </w:tcPr>
          <w:p w:rsidR="00CC66A8" w:rsidRDefault="00CC66A8">
            <w:r>
              <w:t xml:space="preserve">Description </w:t>
            </w:r>
          </w:p>
        </w:tc>
        <w:tc>
          <w:tcPr>
            <w:tcW w:w="6840" w:type="dxa"/>
          </w:tcPr>
          <w:p w:rsidR="00CC66A8" w:rsidRDefault="00CC66A8" w:rsidP="00CC66A8">
            <w:pPr>
              <w:bidi/>
              <w:jc w:val="right"/>
            </w:pPr>
            <w:r>
              <w:t xml:space="preserve">The students, in a team work approach, are expected to refer to a variety of assigned readings, resources, and teaching tools to answer the assignment questions.  All readings, resources, and teaching tools are posted for the students online at the e-learning website of the course. The students should submit the assignment on e-learning page of the course </w:t>
            </w:r>
            <w:r w:rsidR="00E46803">
              <w:t xml:space="preserve">or in a hard copy form </w:t>
            </w:r>
            <w:r>
              <w:t xml:space="preserve">by 23ed of April, 2017. Late submissions will not be accepted. </w:t>
            </w:r>
          </w:p>
        </w:tc>
      </w:tr>
      <w:tr w:rsidR="00CC66A8" w:rsidTr="00CC66A8">
        <w:tc>
          <w:tcPr>
            <w:tcW w:w="2695" w:type="dxa"/>
          </w:tcPr>
          <w:p w:rsidR="00CC66A8" w:rsidRDefault="00CC66A8" w:rsidP="00CC66A8">
            <w:r>
              <w:t xml:space="preserve">Specific intended learning outcomes </w:t>
            </w:r>
          </w:p>
        </w:tc>
        <w:tc>
          <w:tcPr>
            <w:tcW w:w="6840" w:type="dxa"/>
          </w:tcPr>
          <w:p w:rsidR="00E50A19" w:rsidRDefault="00E50A19" w:rsidP="00CC66A8">
            <w:r>
              <w:t>T</w:t>
            </w:r>
            <w:r w:rsidR="00CC66A8">
              <w:t>he students are expected to achieve the following outcomes</w:t>
            </w:r>
            <w:r>
              <w:t>:</w:t>
            </w:r>
          </w:p>
          <w:p w:rsidR="00CC66A8" w:rsidRDefault="00E50A19" w:rsidP="00E50A19">
            <w:pPr>
              <w:pStyle w:val="ListParagraph"/>
              <w:numPr>
                <w:ilvl w:val="0"/>
                <w:numId w:val="1"/>
              </w:numPr>
            </w:pPr>
            <w:r>
              <w:t xml:space="preserve">Distinguish between various types and classifications of SCD </w:t>
            </w:r>
          </w:p>
          <w:p w:rsidR="00E50A19" w:rsidRDefault="00E50A19" w:rsidP="00E50A1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mechanism of inheritance of SCD </w:t>
            </w:r>
          </w:p>
          <w:p w:rsidR="00E50A19" w:rsidRDefault="00E50A19" w:rsidP="00E50A19">
            <w:pPr>
              <w:pStyle w:val="ListParagraph"/>
              <w:numPr>
                <w:ilvl w:val="0"/>
                <w:numId w:val="1"/>
              </w:numPr>
            </w:pPr>
            <w:r>
              <w:t>Relate the pathophysiology to SCD to its clinical manifestations</w:t>
            </w:r>
          </w:p>
          <w:p w:rsidR="00E50A19" w:rsidRDefault="00E50A19" w:rsidP="00E50A1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C6768">
              <w:t xml:space="preserve">Demonstrate understanding of the rational of therapies of SCD in children   </w:t>
            </w:r>
          </w:p>
          <w:p w:rsidR="00E50A19" w:rsidRDefault="00E50A19" w:rsidP="00E50A19">
            <w:pPr>
              <w:pStyle w:val="ListParagraph"/>
              <w:numPr>
                <w:ilvl w:val="0"/>
                <w:numId w:val="1"/>
              </w:numPr>
            </w:pPr>
            <w:r>
              <w:t>Outline the nursing care of children with SCD</w:t>
            </w:r>
          </w:p>
        </w:tc>
      </w:tr>
      <w:tr w:rsidR="00CC66A8" w:rsidTr="00CC66A8">
        <w:tc>
          <w:tcPr>
            <w:tcW w:w="2695" w:type="dxa"/>
          </w:tcPr>
          <w:p w:rsidR="00CC66A8" w:rsidRDefault="00F602C0" w:rsidP="00CC66A8">
            <w:r>
              <w:t xml:space="preserve">Teaching tools and Materials: </w:t>
            </w:r>
          </w:p>
        </w:tc>
        <w:tc>
          <w:tcPr>
            <w:tcW w:w="6840" w:type="dxa"/>
          </w:tcPr>
          <w:p w:rsidR="006B3AEA" w:rsidRPr="006B3AEA" w:rsidRDefault="006B3AEA" w:rsidP="006B3AEA">
            <w:pPr>
              <w:pStyle w:val="EndNoteBibliography"/>
              <w:numPr>
                <w:ilvl w:val="0"/>
                <w:numId w:val="10"/>
              </w:numPr>
            </w:pPr>
            <w:r w:rsidRPr="006B3AEA">
              <w:t xml:space="preserve">Hockenberry, M. J., Wilson, D., &amp; Wong, D. L. (2012). </w:t>
            </w:r>
            <w:r w:rsidRPr="006B3AEA">
              <w:rPr>
                <w:i/>
              </w:rPr>
              <w:t>Wong's Essentials of Pediatric Nursing9: Wong's Essentials of Pediatric Nursing</w:t>
            </w:r>
            <w:r w:rsidRPr="006B3AEA">
              <w:t>: Elsevier Health Sciences.</w:t>
            </w:r>
          </w:p>
          <w:p w:rsidR="006B3AEA" w:rsidRPr="006B3AEA" w:rsidRDefault="006B3AEA" w:rsidP="006B3AEA">
            <w:pPr>
              <w:pStyle w:val="EndNoteBibliography"/>
              <w:numPr>
                <w:ilvl w:val="0"/>
                <w:numId w:val="10"/>
              </w:numPr>
            </w:pPr>
            <w:r w:rsidRPr="006B3AEA">
              <w:t xml:space="preserve">Rees, D. C., Williams, T. N., &amp; Gladwin, M. T. (2010). Sickle-cell disease. </w:t>
            </w:r>
            <w:r w:rsidRPr="006B3AEA">
              <w:rPr>
                <w:i/>
              </w:rPr>
              <w:t>The Lancet, 376</w:t>
            </w:r>
            <w:r w:rsidRPr="006B3AEA">
              <w:t xml:space="preserve">(9757), 2018-2031. </w:t>
            </w:r>
          </w:p>
          <w:p w:rsidR="00CC66A8" w:rsidRDefault="00F602C0" w:rsidP="006B3AEA">
            <w:pPr>
              <w:pStyle w:val="EndNoteBibliography"/>
              <w:numPr>
                <w:ilvl w:val="0"/>
                <w:numId w:val="10"/>
              </w:numPr>
              <w:rPr>
                <w:bdr w:val="none" w:sz="0" w:space="0" w:color="auto" w:frame="1"/>
                <w:lang w:val="en"/>
              </w:rPr>
            </w:pPr>
            <w:r w:rsidRPr="006B3AEA">
              <w:t xml:space="preserve">Video: </w:t>
            </w:r>
            <w:r w:rsidRPr="006B3AEA">
              <w:rPr>
                <w:bdr w:val="none" w:sz="0" w:space="0" w:color="auto" w:frame="1"/>
                <w:lang w:val="en"/>
              </w:rPr>
              <w:t>Sickle cell anemia - causes, symptoms, diagnosis, treatment &amp; pathology</w:t>
            </w:r>
          </w:p>
          <w:p w:rsidR="006B3AEA" w:rsidRDefault="001D3280" w:rsidP="001D3280">
            <w:pPr>
              <w:pStyle w:val="EndNoteBibliography"/>
              <w:numPr>
                <w:ilvl w:val="0"/>
                <w:numId w:val="10"/>
              </w:numPr>
              <w:rPr>
                <w:bdr w:val="none" w:sz="0" w:space="0" w:color="auto" w:frame="1"/>
                <w:lang w:val="en"/>
              </w:rPr>
            </w:pPr>
            <w:r>
              <w:rPr>
                <w:bdr w:val="none" w:sz="0" w:space="0" w:color="auto" w:frame="1"/>
                <w:lang w:val="en"/>
              </w:rPr>
              <w:fldChar w:fldCharType="begin"/>
            </w:r>
            <w:r>
              <w:rPr>
                <w:bdr w:val="none" w:sz="0" w:space="0" w:color="auto" w:frame="1"/>
                <w:lang w:val="en"/>
              </w:rPr>
              <w:instrText xml:space="preserve"> ADDIN EN.CITE &lt;EndNote&gt;&lt;Cite&gt;&lt;Author&gt;Azzeh&lt;/Author&gt;&lt;Year&gt;2016&lt;/Year&gt;&lt;RecNum&gt;929&lt;/RecNum&gt;&lt;DisplayText&gt;(Azzeh, 2016)&lt;/DisplayText&gt;&lt;record&gt;&lt;rec-number&gt;929&lt;/rec-number&gt;&lt;foreign-keys&gt;&lt;key app="EN" db-id="vew9ft02isr5ewex5ebv5v04vtx0w9tffarr" timestamp="1478023813"&gt;929&lt;/key&gt;&lt;/foreign-keys&gt;&lt;ref-type name="Newspaper Article"&gt;23&lt;/ref-type&gt;&lt;contributors&gt;&lt;authors&gt;&lt;author&gt;Laila Azzeh &lt;/author&gt;&lt;/authors&gt;&lt;/contributors&gt;&lt;titles&gt;&lt;title&gt;Pre-marital medical check up to test for sickle-cell anaemia&lt;/title&gt;&lt;secondary-title&gt;The Jordan Times &lt;/secondary-title&gt;&lt;/titles&gt;&lt;volume&gt;Feb 29, 2016&lt;/volume&gt;&lt;dates&gt;&lt;year&gt;2016&lt;/year&gt;&lt;/dates&gt;&lt;pub-location&gt;Amman, Jordan&lt;/pub-location&gt;&lt;publisher&gt;Jordan Press Foundation &lt;/publisher&gt;&lt;urls&gt;&lt;/urls&gt;&lt;/record&gt;&lt;/Cite&gt;&lt;/EndNote&gt;</w:instrText>
            </w:r>
            <w:r>
              <w:rPr>
                <w:bdr w:val="none" w:sz="0" w:space="0" w:color="auto" w:frame="1"/>
                <w:lang w:val="en"/>
              </w:rPr>
              <w:fldChar w:fldCharType="separate"/>
            </w:r>
            <w:r>
              <w:rPr>
                <w:bdr w:val="none" w:sz="0" w:space="0" w:color="auto" w:frame="1"/>
                <w:lang w:val="en"/>
              </w:rPr>
              <w:t>(Azzeh, 2016)</w:t>
            </w:r>
            <w:r>
              <w:rPr>
                <w:bdr w:val="none" w:sz="0" w:space="0" w:color="auto" w:frame="1"/>
                <w:lang w:val="en"/>
              </w:rPr>
              <w:fldChar w:fldCharType="end"/>
            </w:r>
            <w:r>
              <w:rPr>
                <w:bdr w:val="none" w:sz="0" w:space="0" w:color="auto" w:frame="1"/>
                <w:lang w:val="en"/>
              </w:rPr>
              <w:t xml:space="preserve">: </w:t>
            </w:r>
            <w:hyperlink r:id="rId7" w:history="1">
              <w:r w:rsidRPr="000167D7">
                <w:rPr>
                  <w:rStyle w:val="Hyperlink"/>
                  <w:bdr w:val="none" w:sz="0" w:space="0" w:color="auto" w:frame="1"/>
                  <w:lang w:val="en"/>
                </w:rPr>
                <w:t>http://www.jordantimes.com/news/local/pre-marital-medical-check-test-sickle-cell-anaemia%E2%80%99</w:t>
              </w:r>
            </w:hyperlink>
          </w:p>
          <w:p w:rsidR="001D3280" w:rsidRPr="006B3AEA" w:rsidRDefault="001D3280" w:rsidP="001D3280">
            <w:pPr>
              <w:pStyle w:val="EndNoteBibliography"/>
              <w:numPr>
                <w:ilvl w:val="0"/>
                <w:numId w:val="0"/>
              </w:numPr>
              <w:ind w:left="767"/>
              <w:rPr>
                <w:bdr w:val="none" w:sz="0" w:space="0" w:color="auto" w:frame="1"/>
                <w:lang w:val="en"/>
              </w:rPr>
            </w:pPr>
          </w:p>
          <w:p w:rsidR="00F602C0" w:rsidRPr="00F602C0" w:rsidRDefault="00F602C0" w:rsidP="00CC66A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66A8" w:rsidTr="00CC66A8">
        <w:tc>
          <w:tcPr>
            <w:tcW w:w="2695" w:type="dxa"/>
          </w:tcPr>
          <w:p w:rsidR="00CC66A8" w:rsidRDefault="00F602C0" w:rsidP="00CC66A8">
            <w:r>
              <w:t>Question</w:t>
            </w:r>
            <w:r w:rsidR="0046006F">
              <w:t xml:space="preserve"> 1. (1Mark)</w:t>
            </w:r>
          </w:p>
        </w:tc>
        <w:tc>
          <w:tcPr>
            <w:tcW w:w="6840" w:type="dxa"/>
          </w:tcPr>
          <w:p w:rsidR="00CC66A8" w:rsidRDefault="0046006F" w:rsidP="006B3AEA">
            <w:r>
              <w:t xml:space="preserve">Define the meaning of: </w:t>
            </w:r>
          </w:p>
          <w:p w:rsidR="0046006F" w:rsidRDefault="0046006F" w:rsidP="0046006F">
            <w:pPr>
              <w:spacing w:line="480" w:lineRule="auto"/>
            </w:pPr>
            <w:r>
              <w:t>Heterozygote SCD:____________________________________________</w:t>
            </w:r>
          </w:p>
          <w:p w:rsidR="0046006F" w:rsidRDefault="0046006F" w:rsidP="0046006F">
            <w:pPr>
              <w:spacing w:line="480" w:lineRule="auto"/>
            </w:pPr>
            <w:r>
              <w:t>Homozygote SCD or SS:________________________________________</w:t>
            </w:r>
          </w:p>
        </w:tc>
      </w:tr>
      <w:tr w:rsidR="00CC66A8" w:rsidTr="00CC66A8">
        <w:tc>
          <w:tcPr>
            <w:tcW w:w="2695" w:type="dxa"/>
          </w:tcPr>
          <w:p w:rsidR="00CC66A8" w:rsidRDefault="00F602C0" w:rsidP="000C6768">
            <w:r>
              <w:t>Question</w:t>
            </w:r>
            <w:r w:rsidR="0046006F">
              <w:t xml:space="preserve"> 2. (1</w:t>
            </w:r>
            <w:r w:rsidR="000C6768">
              <w:t>.5</w:t>
            </w:r>
            <w:r w:rsidR="0046006F">
              <w:t xml:space="preserve"> marks)</w:t>
            </w:r>
          </w:p>
          <w:p w:rsidR="0062509E" w:rsidRDefault="0062509E" w:rsidP="000C6768"/>
          <w:p w:rsidR="0062509E" w:rsidRDefault="0062509E" w:rsidP="000C6768"/>
          <w:p w:rsidR="0062509E" w:rsidRDefault="0062509E" w:rsidP="000C6768"/>
          <w:p w:rsidR="0062509E" w:rsidRDefault="0062509E" w:rsidP="000C6768"/>
          <w:p w:rsidR="0062509E" w:rsidRDefault="0062509E" w:rsidP="000C6768"/>
          <w:p w:rsidR="0062509E" w:rsidRDefault="0062509E" w:rsidP="000C6768"/>
          <w:p w:rsidR="0062509E" w:rsidRDefault="0062509E" w:rsidP="000C6768"/>
          <w:p w:rsidR="0062509E" w:rsidRDefault="0062509E" w:rsidP="000C6768"/>
        </w:tc>
        <w:tc>
          <w:tcPr>
            <w:tcW w:w="6840" w:type="dxa"/>
          </w:tcPr>
          <w:p w:rsidR="0046006F" w:rsidRDefault="0046006F" w:rsidP="0046006F">
            <w:r>
              <w:t xml:space="preserve">Explain the reason of the </w:t>
            </w:r>
            <w:r w:rsidR="006F18D4">
              <w:t>occurrence</w:t>
            </w:r>
            <w:r>
              <w:t xml:space="preserve"> of each of the complications in SCD children:</w:t>
            </w:r>
          </w:p>
          <w:p w:rsidR="0046006F" w:rsidRDefault="0046006F" w:rsidP="0046006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Anemia and Jaundice :  </w:t>
            </w:r>
          </w:p>
          <w:p w:rsidR="0046006F" w:rsidRDefault="0046006F" w:rsidP="0046006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Acute Pain Crises:</w:t>
            </w:r>
          </w:p>
          <w:p w:rsidR="0062509E" w:rsidRDefault="0046006F" w:rsidP="0062509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Acute Chest Syndrome:</w:t>
            </w:r>
          </w:p>
        </w:tc>
      </w:tr>
      <w:tr w:rsidR="00CC66A8" w:rsidTr="00CC66A8">
        <w:tc>
          <w:tcPr>
            <w:tcW w:w="2695" w:type="dxa"/>
          </w:tcPr>
          <w:p w:rsidR="00CC66A8" w:rsidRDefault="00F602C0" w:rsidP="000C6768">
            <w:r>
              <w:lastRenderedPageBreak/>
              <w:t>Question</w:t>
            </w:r>
            <w:r w:rsidR="0046006F">
              <w:t xml:space="preserve"> 3. (</w:t>
            </w:r>
            <w:r w:rsidR="000C6768">
              <w:t>1.5 Marks)</w:t>
            </w:r>
          </w:p>
        </w:tc>
        <w:tc>
          <w:tcPr>
            <w:tcW w:w="6840" w:type="dxa"/>
          </w:tcPr>
          <w:p w:rsidR="00CC66A8" w:rsidRDefault="0046006F" w:rsidP="0046006F">
            <w:pPr>
              <w:pStyle w:val="ListParagraph"/>
              <w:numPr>
                <w:ilvl w:val="0"/>
                <w:numId w:val="4"/>
              </w:numPr>
            </w:pPr>
            <w:r>
              <w:t>What are the main objectives of SCD therapeutic Management:</w:t>
            </w:r>
          </w:p>
          <w:p w:rsidR="0046006F" w:rsidRDefault="0046006F" w:rsidP="008367D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_____________________________________________</w:t>
            </w:r>
          </w:p>
          <w:p w:rsidR="0046006F" w:rsidRDefault="0046006F" w:rsidP="008367D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_____________________________________________</w:t>
            </w:r>
          </w:p>
          <w:p w:rsidR="0046006F" w:rsidRDefault="0046006F" w:rsidP="008367D7">
            <w:pPr>
              <w:pStyle w:val="ListParagraph"/>
              <w:numPr>
                <w:ilvl w:val="0"/>
                <w:numId w:val="5"/>
              </w:numPr>
              <w:spacing w:after="160" w:line="360" w:lineRule="auto"/>
            </w:pPr>
            <w:r>
              <w:t>_____________________________________________</w:t>
            </w:r>
          </w:p>
          <w:p w:rsidR="0046006F" w:rsidRDefault="0046006F" w:rsidP="008367D7">
            <w:pPr>
              <w:pStyle w:val="ListParagraph"/>
              <w:numPr>
                <w:ilvl w:val="0"/>
                <w:numId w:val="5"/>
              </w:numPr>
              <w:spacing w:after="160" w:line="360" w:lineRule="auto"/>
            </w:pPr>
            <w:r>
              <w:t>_____________________________________________</w:t>
            </w:r>
          </w:p>
          <w:p w:rsidR="0046006F" w:rsidRDefault="0046006F" w:rsidP="008367D7">
            <w:pPr>
              <w:pStyle w:val="ListParagraph"/>
              <w:numPr>
                <w:ilvl w:val="0"/>
                <w:numId w:val="5"/>
              </w:numPr>
              <w:spacing w:after="160" w:line="360" w:lineRule="auto"/>
            </w:pPr>
            <w:r>
              <w:t>_____________________________________________</w:t>
            </w:r>
          </w:p>
          <w:p w:rsidR="0046006F" w:rsidRDefault="0046006F" w:rsidP="008367D7">
            <w:pPr>
              <w:pStyle w:val="ListParagraph"/>
              <w:numPr>
                <w:ilvl w:val="0"/>
                <w:numId w:val="5"/>
              </w:numPr>
              <w:spacing w:after="160" w:line="360" w:lineRule="auto"/>
            </w:pPr>
            <w:r>
              <w:t>_____________________________________________</w:t>
            </w:r>
          </w:p>
        </w:tc>
      </w:tr>
      <w:tr w:rsidR="000C6768" w:rsidTr="00CC66A8">
        <w:tc>
          <w:tcPr>
            <w:tcW w:w="2695" w:type="dxa"/>
          </w:tcPr>
          <w:p w:rsidR="000C6768" w:rsidRDefault="000C6768" w:rsidP="00CC66A8">
            <w:r>
              <w:t xml:space="preserve">Question 4. (1) </w:t>
            </w:r>
          </w:p>
        </w:tc>
        <w:tc>
          <w:tcPr>
            <w:tcW w:w="6840" w:type="dxa"/>
          </w:tcPr>
          <w:p w:rsidR="000C6768" w:rsidRDefault="000C6768" w:rsidP="00F602C0">
            <w:r>
              <w:t xml:space="preserve">What is the rational of the following </w:t>
            </w:r>
            <w:r w:rsidR="006B3AEA">
              <w:t>therapeutic</w:t>
            </w:r>
            <w:r>
              <w:t xml:space="preserve"> </w:t>
            </w:r>
            <w:r w:rsidR="006B3AEA">
              <w:t>treatments</w:t>
            </w:r>
            <w:r>
              <w:t xml:space="preserve"> of SCD in children:</w:t>
            </w:r>
          </w:p>
          <w:p w:rsidR="000C6768" w:rsidRDefault="000C6768" w:rsidP="000C6768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Regular blood transfusion : ________________________</w:t>
            </w:r>
          </w:p>
          <w:p w:rsidR="000C6768" w:rsidRDefault="000C6768" w:rsidP="000C6768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Hydroxyurea: _________________________________</w:t>
            </w:r>
          </w:p>
        </w:tc>
      </w:tr>
      <w:tr w:rsidR="001D3280" w:rsidTr="00CC66A8">
        <w:tc>
          <w:tcPr>
            <w:tcW w:w="2695" w:type="dxa"/>
          </w:tcPr>
          <w:p w:rsidR="001D3280" w:rsidRDefault="001D3280" w:rsidP="00CC66A8">
            <w:r>
              <w:t>Question 5. (0.5 Marks)</w:t>
            </w:r>
          </w:p>
        </w:tc>
        <w:tc>
          <w:tcPr>
            <w:tcW w:w="6840" w:type="dxa"/>
          </w:tcPr>
          <w:p w:rsidR="001D3280" w:rsidRDefault="001D3280" w:rsidP="001D3280">
            <w:r>
              <w:t>The Prevalence rate of SCD in Jordan is:  (     %)</w:t>
            </w:r>
          </w:p>
        </w:tc>
      </w:tr>
      <w:tr w:rsidR="00CC66A8" w:rsidTr="00CC66A8">
        <w:tc>
          <w:tcPr>
            <w:tcW w:w="2695" w:type="dxa"/>
          </w:tcPr>
          <w:p w:rsidR="00CC66A8" w:rsidRDefault="00F602C0" w:rsidP="001D3280">
            <w:r>
              <w:t xml:space="preserve">Question </w:t>
            </w:r>
            <w:r w:rsidR="001D3280">
              <w:t>6</w:t>
            </w:r>
            <w:r w:rsidR="000C6768">
              <w:t xml:space="preserve">. </w:t>
            </w:r>
            <w:r>
              <w:t>(</w:t>
            </w:r>
            <w:r w:rsidR="001D3280">
              <w:t>4.</w:t>
            </w:r>
            <w:r>
              <w:t>5 marks)</w:t>
            </w:r>
          </w:p>
        </w:tc>
        <w:tc>
          <w:tcPr>
            <w:tcW w:w="6840" w:type="dxa"/>
          </w:tcPr>
          <w:p w:rsidR="00F602C0" w:rsidRDefault="00E50A19" w:rsidP="006B3AEA">
            <w:r>
              <w:t xml:space="preserve">Refer to Page 879 of your text book </w:t>
            </w:r>
            <w:r w:rsidR="006B3AEA">
              <w:rPr>
                <w:noProof/>
              </w:rPr>
              <w:t xml:space="preserve">(Hockenberry &amp; Wilson, 2014) </w:t>
            </w:r>
            <w:r>
              <w:t xml:space="preserve">and outline: </w:t>
            </w:r>
          </w:p>
          <w:p w:rsidR="00F602C0" w:rsidRDefault="00F602C0" w:rsidP="001D3280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E50A19">
              <w:t>even (</w:t>
            </w:r>
            <w:r w:rsidR="001D3280">
              <w:t>6</w:t>
            </w:r>
            <w:r w:rsidR="00E50A19">
              <w:t xml:space="preserve">) nursing care interventions to decrease or eliminate the child’s experience of pain and </w:t>
            </w:r>
          </w:p>
          <w:p w:rsidR="000C6768" w:rsidRDefault="000C6768" w:rsidP="008367D7">
            <w:pPr>
              <w:pStyle w:val="ListParagraph"/>
              <w:spacing w:line="480" w:lineRule="auto"/>
            </w:pPr>
            <w:r>
              <w:t>____________________________________</w:t>
            </w:r>
            <w:r w:rsidR="008367D7">
              <w:t>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CC66A8" w:rsidRDefault="00F602C0" w:rsidP="00F602C0">
            <w:pPr>
              <w:pStyle w:val="ListParagraph"/>
              <w:numPr>
                <w:ilvl w:val="0"/>
                <w:numId w:val="2"/>
              </w:numPr>
            </w:pPr>
            <w:r>
              <w:t>Three (3) nursing care interventions to maintained adequate fluid volume in</w:t>
            </w:r>
            <w:r w:rsidR="00E50A19">
              <w:t xml:space="preserve"> children with SCD</w:t>
            </w:r>
            <w:r w:rsidR="008367D7">
              <w:t>: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  <w:p w:rsidR="008367D7" w:rsidRDefault="008367D7" w:rsidP="008367D7">
            <w:pPr>
              <w:pStyle w:val="ListParagraph"/>
              <w:spacing w:line="480" w:lineRule="auto"/>
            </w:pPr>
            <w:r>
              <w:t>____________________________________________________</w:t>
            </w:r>
          </w:p>
        </w:tc>
      </w:tr>
    </w:tbl>
    <w:p w:rsidR="006B3AEA" w:rsidRDefault="006B3AEA"/>
    <w:p w:rsidR="006B3AEA" w:rsidRDefault="006B3AEA"/>
    <w:p w:rsidR="006B3AEA" w:rsidRDefault="006B3AEA" w:rsidP="006B3AEA"/>
    <w:p w:rsidR="00F174A3" w:rsidRDefault="00F174A3" w:rsidP="001D3280"/>
    <w:sectPr w:rsidR="00F17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74" w:rsidRDefault="00C84174" w:rsidP="003F3A45">
      <w:pPr>
        <w:spacing w:after="0" w:line="240" w:lineRule="auto"/>
      </w:pPr>
      <w:r>
        <w:separator/>
      </w:r>
    </w:p>
  </w:endnote>
  <w:endnote w:type="continuationSeparator" w:id="0">
    <w:p w:rsidR="00C84174" w:rsidRDefault="00C84174" w:rsidP="003F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5" w:rsidRDefault="003F3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91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A45" w:rsidRDefault="003F3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A45" w:rsidRDefault="003F3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5" w:rsidRDefault="003F3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74" w:rsidRDefault="00C84174" w:rsidP="003F3A45">
      <w:pPr>
        <w:spacing w:after="0" w:line="240" w:lineRule="auto"/>
      </w:pPr>
      <w:r>
        <w:separator/>
      </w:r>
    </w:p>
  </w:footnote>
  <w:footnote w:type="continuationSeparator" w:id="0">
    <w:p w:rsidR="00C84174" w:rsidRDefault="00C84174" w:rsidP="003F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5" w:rsidRDefault="003F3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5" w:rsidRDefault="003F3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5" w:rsidRDefault="003F3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B10"/>
    <w:multiLevelType w:val="hybridMultilevel"/>
    <w:tmpl w:val="73F8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610"/>
    <w:multiLevelType w:val="hybridMultilevel"/>
    <w:tmpl w:val="753037BC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7BA79EC"/>
    <w:multiLevelType w:val="hybridMultilevel"/>
    <w:tmpl w:val="D208010E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22A978B7"/>
    <w:multiLevelType w:val="hybridMultilevel"/>
    <w:tmpl w:val="9F88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5B9"/>
    <w:multiLevelType w:val="hybridMultilevel"/>
    <w:tmpl w:val="9ED86F5E"/>
    <w:lvl w:ilvl="0" w:tplc="7638A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0187F"/>
    <w:multiLevelType w:val="hybridMultilevel"/>
    <w:tmpl w:val="09EA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0E7A"/>
    <w:multiLevelType w:val="hybridMultilevel"/>
    <w:tmpl w:val="AACC0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41ED"/>
    <w:multiLevelType w:val="hybridMultilevel"/>
    <w:tmpl w:val="6FC435EC"/>
    <w:lvl w:ilvl="0" w:tplc="2D78E302">
      <w:start w:val="1"/>
      <w:numFmt w:val="decimal"/>
      <w:pStyle w:val="EndNoteBibliograph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11E6"/>
    <w:multiLevelType w:val="hybridMultilevel"/>
    <w:tmpl w:val="C1B860BC"/>
    <w:lvl w:ilvl="0" w:tplc="7638A38E">
      <w:start w:val="1"/>
      <w:numFmt w:val="lowerLetter"/>
      <w:lvlText w:val="%1."/>
      <w:lvlJc w:val="left"/>
      <w:pPr>
        <w:ind w:left="1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w9ft02isr5ewex5ebv5v04vtx0w9tffarr&quot;&gt;3.4.2017 Back up Library&lt;record-ids&gt;&lt;item&gt;929&lt;/item&gt;&lt;/record-ids&gt;&lt;/item&gt;&lt;/Libraries&gt;"/>
  </w:docVars>
  <w:rsids>
    <w:rsidRoot w:val="0024773A"/>
    <w:rsid w:val="000C6768"/>
    <w:rsid w:val="001D3280"/>
    <w:rsid w:val="0024773A"/>
    <w:rsid w:val="00306679"/>
    <w:rsid w:val="003F3A45"/>
    <w:rsid w:val="00434751"/>
    <w:rsid w:val="0046006F"/>
    <w:rsid w:val="00475829"/>
    <w:rsid w:val="0062509E"/>
    <w:rsid w:val="006B3AEA"/>
    <w:rsid w:val="006F18D4"/>
    <w:rsid w:val="0073720C"/>
    <w:rsid w:val="008367D7"/>
    <w:rsid w:val="00C84174"/>
    <w:rsid w:val="00CC66A8"/>
    <w:rsid w:val="00E46803"/>
    <w:rsid w:val="00E50A19"/>
    <w:rsid w:val="00ED73BD"/>
    <w:rsid w:val="00F174A3"/>
    <w:rsid w:val="00F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28847-4A6C-4FBE-9D0D-FB29DB5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0A1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B3AEA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AEA"/>
  </w:style>
  <w:style w:type="character" w:customStyle="1" w:styleId="EndNoteBibliographyTitleChar">
    <w:name w:val="EndNote Bibliography Title Char"/>
    <w:basedOn w:val="ListParagraphChar"/>
    <w:link w:val="EndNoteBibliographyTitle"/>
    <w:rsid w:val="006B3AE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3AEA"/>
    <w:pPr>
      <w:numPr>
        <w:numId w:val="8"/>
      </w:num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6B3AEA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1D3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45"/>
  </w:style>
  <w:style w:type="paragraph" w:styleId="Footer">
    <w:name w:val="footer"/>
    <w:basedOn w:val="Normal"/>
    <w:link w:val="FooterChar"/>
    <w:uiPriority w:val="99"/>
    <w:unhideWhenUsed/>
    <w:rsid w:val="003F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ordantimes.com/news/local/pre-marital-medical-check-test-sickle-cell-anaemia%E2%80%9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5FB16-C897-4B51-B5B9-8BF4B683992E}"/>
</file>

<file path=customXml/itemProps2.xml><?xml version="1.0" encoding="utf-8"?>
<ds:datastoreItem xmlns:ds="http://schemas.openxmlformats.org/officeDocument/2006/customXml" ds:itemID="{2BA0045C-0B92-4F16-8009-6E96AE216E76}"/>
</file>

<file path=customXml/itemProps3.xml><?xml version="1.0" encoding="utf-8"?>
<ds:datastoreItem xmlns:ds="http://schemas.openxmlformats.org/officeDocument/2006/customXml" ds:itemID="{1DC16210-DDEF-468C-9632-94FA0F9A0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Abdalrazeq</dc:creator>
  <cp:keywords/>
  <dc:description/>
  <cp:lastModifiedBy>Omayah Nassar</cp:lastModifiedBy>
  <cp:revision>2</cp:revision>
  <dcterms:created xsi:type="dcterms:W3CDTF">2017-04-16T04:51:00Z</dcterms:created>
  <dcterms:modified xsi:type="dcterms:W3CDTF">2017-04-16T04:51:00Z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